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W w:w="921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453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jc w:val="center"/>
              <w:rPr>
                <w:b/>
                <w:sz w:val="28"/>
              </w:rPr>
            </w:pPr>
            <w:r>
              <w:rPr>
                <w:rFonts w:hint="eastAsia"/>
                <w:b/>
                <w:sz w:val="28"/>
              </w:rPr>
              <w:t>序号</w:t>
            </w:r>
          </w:p>
        </w:tc>
        <w:tc>
          <w:tcPr>
            <w:tcW w:w="2551" w:type="dxa"/>
            <w:vAlign w:val="center"/>
          </w:tcPr>
          <w:p>
            <w:pPr>
              <w:jc w:val="center"/>
              <w:rPr>
                <w:b/>
                <w:sz w:val="28"/>
              </w:rPr>
            </w:pPr>
            <w:r>
              <w:rPr>
                <w:rFonts w:hint="eastAsia"/>
                <w:b/>
                <w:sz w:val="28"/>
              </w:rPr>
              <w:t>学校</w:t>
            </w:r>
          </w:p>
        </w:tc>
        <w:tc>
          <w:tcPr>
            <w:tcW w:w="4536" w:type="dxa"/>
            <w:vAlign w:val="center"/>
          </w:tcPr>
          <w:p>
            <w:pPr>
              <w:jc w:val="center"/>
              <w:rPr>
                <w:b/>
                <w:sz w:val="28"/>
              </w:rPr>
            </w:pPr>
            <w:r>
              <w:rPr>
                <w:rFonts w:hint="eastAsia"/>
                <w:b/>
                <w:sz w:val="28"/>
              </w:rPr>
              <w:t>项目名称</w:t>
            </w:r>
          </w:p>
        </w:tc>
        <w:tc>
          <w:tcPr>
            <w:tcW w:w="1276" w:type="dxa"/>
            <w:vAlign w:val="center"/>
          </w:tcPr>
          <w:p>
            <w:pPr>
              <w:jc w:val="center"/>
              <w:rPr>
                <w:b/>
                <w:sz w:val="28"/>
              </w:rPr>
            </w:pPr>
            <w:r>
              <w:rPr>
                <w:rFonts w:hint="eastAsia"/>
                <w:b/>
                <w:sz w:val="28"/>
              </w:rPr>
              <w:t>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复旦大学</w:t>
            </w:r>
          </w:p>
        </w:tc>
        <w:tc>
          <w:tcPr>
            <w:tcW w:w="4536" w:type="dxa"/>
            <w:vAlign w:val="center"/>
          </w:tcPr>
          <w:p>
            <w:pPr>
              <w:jc w:val="center"/>
              <w:rPr>
                <w:sz w:val="24"/>
              </w:rPr>
            </w:pPr>
            <w:r>
              <w:rPr>
                <w:rFonts w:hint="eastAsia"/>
                <w:sz w:val="24"/>
              </w:rPr>
              <w:t>自行车</w:t>
            </w:r>
            <w:r>
              <w:rPr>
                <w:sz w:val="24"/>
              </w:rPr>
              <w:t>双线变速器</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复旦大学</w:t>
            </w:r>
          </w:p>
        </w:tc>
        <w:tc>
          <w:tcPr>
            <w:tcW w:w="4536" w:type="dxa"/>
            <w:vAlign w:val="center"/>
          </w:tcPr>
          <w:p>
            <w:pPr>
              <w:jc w:val="center"/>
              <w:rPr>
                <w:sz w:val="24"/>
              </w:rPr>
            </w:pPr>
            <w:r>
              <w:rPr>
                <w:rFonts w:hint="eastAsia"/>
                <w:sz w:val="24"/>
              </w:rPr>
              <w:t>新型</w:t>
            </w:r>
            <w:r>
              <w:rPr>
                <w:sz w:val="24"/>
              </w:rPr>
              <w:t>纳米超晶格结构在能源</w:t>
            </w:r>
            <w:r>
              <w:rPr>
                <w:rFonts w:hint="eastAsia"/>
                <w:sz w:val="24"/>
              </w:rPr>
              <w:t>存储与</w:t>
            </w:r>
            <w:r>
              <w:rPr>
                <w:sz w:val="24"/>
              </w:rPr>
              <w:t>转化中的应用</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上海交通大学</w:t>
            </w:r>
          </w:p>
        </w:tc>
        <w:tc>
          <w:tcPr>
            <w:tcW w:w="4536" w:type="dxa"/>
            <w:vAlign w:val="center"/>
          </w:tcPr>
          <w:p>
            <w:pPr>
              <w:widowControl/>
              <w:jc w:val="center"/>
              <w:rPr>
                <w:sz w:val="24"/>
              </w:rPr>
            </w:pPr>
            <w:r>
              <w:rPr>
                <w:rFonts w:hint="eastAsia"/>
                <w:sz w:val="24"/>
              </w:rPr>
              <w:t>仿生等离激元纳米复合材料制备及其光热性能研究</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上海交通大学</w:t>
            </w:r>
          </w:p>
        </w:tc>
        <w:tc>
          <w:tcPr>
            <w:tcW w:w="4536" w:type="dxa"/>
            <w:vAlign w:val="center"/>
          </w:tcPr>
          <w:p>
            <w:pPr>
              <w:jc w:val="center"/>
              <w:rPr>
                <w:sz w:val="24"/>
              </w:rPr>
            </w:pPr>
            <w:r>
              <w:rPr>
                <w:rFonts w:hint="eastAsia"/>
                <w:sz w:val="24"/>
              </w:rPr>
              <w:t>T6：移动平台安全内核及应用</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同济大学</w:t>
            </w:r>
          </w:p>
        </w:tc>
        <w:tc>
          <w:tcPr>
            <w:tcW w:w="4536" w:type="dxa"/>
            <w:vAlign w:val="center"/>
          </w:tcPr>
          <w:p>
            <w:pPr>
              <w:widowControl/>
              <w:jc w:val="center"/>
              <w:rPr>
                <w:sz w:val="24"/>
              </w:rPr>
            </w:pPr>
            <w:r>
              <w:rPr>
                <w:rFonts w:hint="eastAsia"/>
                <w:sz w:val="24"/>
              </w:rPr>
              <w:t>基于同位素轮廓指纹比对的蛋白质数据库搜索引擎</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同济大学</w:t>
            </w:r>
          </w:p>
        </w:tc>
        <w:tc>
          <w:tcPr>
            <w:tcW w:w="4536" w:type="dxa"/>
            <w:vAlign w:val="center"/>
          </w:tcPr>
          <w:p>
            <w:pPr>
              <w:jc w:val="center"/>
              <w:rPr>
                <w:sz w:val="24"/>
              </w:rPr>
            </w:pPr>
            <w:r>
              <w:rPr>
                <w:rFonts w:hint="eastAsia"/>
                <w:sz w:val="24"/>
              </w:rPr>
              <w:t>基于加速度功率谱密度分析的路面平整度快速检测系统</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东华大学</w:t>
            </w:r>
          </w:p>
        </w:tc>
        <w:tc>
          <w:tcPr>
            <w:tcW w:w="4536" w:type="dxa"/>
            <w:vAlign w:val="center"/>
          </w:tcPr>
          <w:p>
            <w:pPr>
              <w:widowControl/>
              <w:jc w:val="center"/>
              <w:rPr>
                <w:sz w:val="24"/>
              </w:rPr>
            </w:pPr>
            <w:r>
              <w:rPr>
                <w:rFonts w:hint="eastAsia"/>
                <w:sz w:val="24"/>
              </w:rPr>
              <w:t>水平姿态爬楼搬运机器人</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上海大学</w:t>
            </w:r>
          </w:p>
        </w:tc>
        <w:tc>
          <w:tcPr>
            <w:tcW w:w="4536" w:type="dxa"/>
            <w:vAlign w:val="center"/>
          </w:tcPr>
          <w:p>
            <w:pPr>
              <w:widowControl/>
              <w:jc w:val="center"/>
              <w:rPr>
                <w:sz w:val="24"/>
              </w:rPr>
            </w:pPr>
            <w:r>
              <w:rPr>
                <w:rFonts w:hint="eastAsia"/>
                <w:sz w:val="24"/>
              </w:rPr>
              <w:t>从人生炼狱到圆梦天堂--以亚洲最大高考工厂毛坦厂中学为例</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师范大学</w:t>
            </w:r>
          </w:p>
        </w:tc>
        <w:tc>
          <w:tcPr>
            <w:tcW w:w="4536" w:type="dxa"/>
            <w:vAlign w:val="center"/>
          </w:tcPr>
          <w:p>
            <w:pPr>
              <w:widowControl/>
              <w:jc w:val="center"/>
              <w:rPr>
                <w:sz w:val="24"/>
              </w:rPr>
            </w:pPr>
            <w:r>
              <w:rPr>
                <w:rFonts w:hint="eastAsia"/>
                <w:sz w:val="24"/>
              </w:rPr>
              <w:t>三元共聚磷酸盐分数</w:t>
            </w:r>
            <w:r>
              <w:rPr>
                <w:sz w:val="24"/>
              </w:rPr>
              <w:t>剂的制备及在农药剂型</w:t>
            </w:r>
            <w:r>
              <w:rPr>
                <w:rFonts w:hint="eastAsia"/>
                <w:sz w:val="24"/>
              </w:rPr>
              <w:t>的</w:t>
            </w:r>
            <w:r>
              <w:rPr>
                <w:sz w:val="24"/>
              </w:rPr>
              <w:t>应用</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华东政法</w:t>
            </w:r>
            <w:r>
              <w:rPr>
                <w:sz w:val="24"/>
              </w:rPr>
              <w:t>大学</w:t>
            </w:r>
          </w:p>
        </w:tc>
        <w:tc>
          <w:tcPr>
            <w:tcW w:w="4536" w:type="dxa"/>
            <w:vAlign w:val="center"/>
          </w:tcPr>
          <w:p>
            <w:pPr>
              <w:widowControl/>
              <w:jc w:val="center"/>
              <w:rPr>
                <w:sz w:val="24"/>
              </w:rPr>
            </w:pPr>
            <w:r>
              <w:rPr>
                <w:rFonts w:hint="eastAsia"/>
                <w:sz w:val="24"/>
              </w:rPr>
              <w:t>关于欠发达地区乡村医生职业困境的调研报告</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对外</w:t>
            </w:r>
            <w:r>
              <w:rPr>
                <w:rFonts w:hint="eastAsia"/>
                <w:sz w:val="24"/>
              </w:rPr>
              <w:t>经贸</w:t>
            </w:r>
            <w:r>
              <w:rPr>
                <w:sz w:val="24"/>
              </w:rPr>
              <w:t>大学</w:t>
            </w:r>
          </w:p>
        </w:tc>
        <w:tc>
          <w:tcPr>
            <w:tcW w:w="4536" w:type="dxa"/>
            <w:vAlign w:val="center"/>
          </w:tcPr>
          <w:p>
            <w:pPr>
              <w:widowControl/>
              <w:jc w:val="center"/>
              <w:rPr>
                <w:sz w:val="24"/>
              </w:rPr>
            </w:pPr>
            <w:r>
              <w:rPr>
                <w:rFonts w:hint="eastAsia"/>
                <w:sz w:val="24"/>
              </w:rPr>
              <w:t>小微企业在资本巨头参与下如何发展壮大 --以餐饮O2O饿了么与淘点点，美团外卖为例的调研</w:t>
            </w:r>
          </w:p>
        </w:tc>
        <w:tc>
          <w:tcPr>
            <w:tcW w:w="1276" w:type="dxa"/>
            <w:vAlign w:val="center"/>
          </w:tcPr>
          <w:p>
            <w:pPr>
              <w:jc w:val="center"/>
              <w:rPr>
                <w:sz w:val="24"/>
              </w:rPr>
            </w:pPr>
            <w:r>
              <w:rPr>
                <w:rFonts w:hint="eastAsia"/>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复旦大学</w:t>
            </w:r>
          </w:p>
        </w:tc>
        <w:tc>
          <w:tcPr>
            <w:tcW w:w="4536" w:type="dxa"/>
            <w:vAlign w:val="center"/>
          </w:tcPr>
          <w:p>
            <w:pPr>
              <w:widowControl/>
              <w:jc w:val="center"/>
              <w:rPr>
                <w:sz w:val="24"/>
              </w:rPr>
            </w:pPr>
            <w:r>
              <w:rPr>
                <w:rFonts w:hint="eastAsia"/>
                <w:sz w:val="24"/>
              </w:rPr>
              <w:t>内高班教育对民族政策的影响研究--基于内高班群体629例样本的调查</w:t>
            </w:r>
          </w:p>
        </w:tc>
        <w:tc>
          <w:tcPr>
            <w:tcW w:w="1276" w:type="dxa"/>
            <w:vAlign w:val="center"/>
          </w:tcPr>
          <w:p>
            <w:pPr>
              <w:jc w:val="center"/>
              <w:rPr>
                <w:sz w:val="24"/>
              </w:rP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复旦大学</w:t>
            </w:r>
          </w:p>
        </w:tc>
        <w:tc>
          <w:tcPr>
            <w:tcW w:w="4536" w:type="dxa"/>
            <w:vAlign w:val="center"/>
          </w:tcPr>
          <w:p>
            <w:pPr>
              <w:widowControl/>
              <w:jc w:val="center"/>
              <w:rPr>
                <w:sz w:val="24"/>
              </w:rPr>
            </w:pPr>
            <w:r>
              <w:rPr>
                <w:rFonts w:hint="eastAsia"/>
                <w:sz w:val="24"/>
              </w:rPr>
              <w:t>用兴趣浇灌人才成长的苗圃--以复旦基础学科拔尖人才培养模式为例</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复旦大学</w:t>
            </w:r>
          </w:p>
        </w:tc>
        <w:tc>
          <w:tcPr>
            <w:tcW w:w="4536" w:type="dxa"/>
            <w:vAlign w:val="center"/>
          </w:tcPr>
          <w:p>
            <w:pPr>
              <w:widowControl/>
              <w:jc w:val="center"/>
              <w:rPr>
                <w:sz w:val="24"/>
              </w:rPr>
            </w:pPr>
            <w:r>
              <w:rPr>
                <w:rFonts w:hint="eastAsia"/>
                <w:sz w:val="24"/>
              </w:rPr>
              <w:t>一类复差分方程亚纯解的振荡性质</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复旦大学</w:t>
            </w:r>
          </w:p>
        </w:tc>
        <w:tc>
          <w:tcPr>
            <w:tcW w:w="4536" w:type="dxa"/>
            <w:vAlign w:val="center"/>
          </w:tcPr>
          <w:p>
            <w:pPr>
              <w:jc w:val="center"/>
              <w:rPr>
                <w:sz w:val="24"/>
              </w:rPr>
            </w:pPr>
            <w:r>
              <w:rPr>
                <w:rFonts w:hint="eastAsia"/>
                <w:sz w:val="24"/>
              </w:rPr>
              <w:t>新型</w:t>
            </w:r>
            <w:r>
              <w:rPr>
                <w:sz w:val="24"/>
              </w:rPr>
              <w:t>医用液体栓</w:t>
            </w:r>
            <w:r>
              <w:rPr>
                <w:rFonts w:hint="eastAsia"/>
                <w:sz w:val="24"/>
              </w:rPr>
              <w:t>塞</w:t>
            </w:r>
            <w:r>
              <w:rPr>
                <w:sz w:val="24"/>
              </w:rPr>
              <w:t>剂的研发</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交通大学</w:t>
            </w:r>
          </w:p>
        </w:tc>
        <w:tc>
          <w:tcPr>
            <w:tcW w:w="4536" w:type="dxa"/>
            <w:vAlign w:val="center"/>
          </w:tcPr>
          <w:p>
            <w:pPr>
              <w:widowControl/>
              <w:jc w:val="center"/>
              <w:rPr>
                <w:sz w:val="24"/>
              </w:rPr>
            </w:pPr>
            <w:r>
              <w:rPr>
                <w:rFonts w:hint="eastAsia"/>
                <w:sz w:val="24"/>
              </w:rPr>
              <w:t>促肿瘤转移蛋白AGR2在乳腺癌化疗药物 耐药性中的机制研究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交通大学</w:t>
            </w:r>
          </w:p>
        </w:tc>
        <w:tc>
          <w:tcPr>
            <w:tcW w:w="4536" w:type="dxa"/>
            <w:vAlign w:val="center"/>
          </w:tcPr>
          <w:p>
            <w:pPr>
              <w:jc w:val="center"/>
              <w:rPr>
                <w:sz w:val="24"/>
              </w:rPr>
            </w:pPr>
            <w:r>
              <w:rPr>
                <w:rFonts w:hint="eastAsia"/>
                <w:sz w:val="24"/>
              </w:rPr>
              <w:t>基于</w:t>
            </w:r>
            <w:r>
              <w:rPr>
                <w:sz w:val="24"/>
              </w:rPr>
              <w:t>视觉信号分解</w:t>
            </w:r>
            <w:r>
              <w:rPr>
                <w:rFonts w:hint="eastAsia"/>
                <w:sz w:val="24"/>
              </w:rPr>
              <w:t>与</w:t>
            </w:r>
            <w:r>
              <w:rPr>
                <w:sz w:val="24"/>
              </w:rPr>
              <w:t>融合的一屏多显技术</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交通大学</w:t>
            </w:r>
          </w:p>
        </w:tc>
        <w:tc>
          <w:tcPr>
            <w:tcW w:w="4536" w:type="dxa"/>
            <w:vAlign w:val="center"/>
          </w:tcPr>
          <w:p>
            <w:pPr>
              <w:jc w:val="center"/>
              <w:rPr>
                <w:sz w:val="24"/>
              </w:rPr>
            </w:pPr>
            <w:r>
              <w:rPr>
                <w:rFonts w:hint="eastAsia"/>
                <w:sz w:val="24"/>
              </w:rPr>
              <w:t>ZnSe</w:t>
            </w:r>
            <w:r>
              <w:rPr>
                <w:sz w:val="24"/>
              </w:rPr>
              <w:t>参杂量子点的性能调控</w:t>
            </w:r>
            <w:r>
              <w:rPr>
                <w:rFonts w:hint="eastAsia"/>
                <w:sz w:val="24"/>
              </w:rPr>
              <w:t>及其</w:t>
            </w:r>
            <w:r>
              <w:rPr>
                <w:sz w:val="24"/>
              </w:rPr>
              <w:t>初步应用</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交通大学</w:t>
            </w:r>
          </w:p>
        </w:tc>
        <w:tc>
          <w:tcPr>
            <w:tcW w:w="4536" w:type="dxa"/>
            <w:vAlign w:val="center"/>
          </w:tcPr>
          <w:p>
            <w:pPr>
              <w:jc w:val="center"/>
              <w:rPr>
                <w:sz w:val="24"/>
              </w:rPr>
            </w:pPr>
            <w:r>
              <w:rPr>
                <w:rFonts w:hint="eastAsia"/>
                <w:sz w:val="24"/>
              </w:rPr>
              <w:t>倾转机身</w:t>
            </w:r>
            <w:r>
              <w:rPr>
                <w:sz w:val="24"/>
              </w:rPr>
              <w:t>式</w:t>
            </w:r>
            <w:r>
              <w:rPr>
                <w:rFonts w:hint="eastAsia"/>
                <w:sz w:val="24"/>
              </w:rPr>
              <w:t>混合多态</w:t>
            </w:r>
            <w:r>
              <w:rPr>
                <w:sz w:val="24"/>
              </w:rPr>
              <w:t>无人机</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同济大学</w:t>
            </w:r>
          </w:p>
        </w:tc>
        <w:tc>
          <w:tcPr>
            <w:tcW w:w="4536" w:type="dxa"/>
            <w:vAlign w:val="center"/>
          </w:tcPr>
          <w:p>
            <w:pPr>
              <w:widowControl/>
              <w:jc w:val="center"/>
              <w:rPr>
                <w:sz w:val="24"/>
              </w:rPr>
            </w:pPr>
            <w:r>
              <w:rPr>
                <w:rFonts w:hint="eastAsia"/>
                <w:sz w:val="24"/>
              </w:rPr>
              <w:t>基于树突状细胞疫苗靶向治疗肺癌的研究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同济大学</w:t>
            </w:r>
          </w:p>
        </w:tc>
        <w:tc>
          <w:tcPr>
            <w:tcW w:w="4536" w:type="dxa"/>
            <w:vAlign w:val="center"/>
          </w:tcPr>
          <w:p>
            <w:pPr>
              <w:jc w:val="center"/>
              <w:rPr>
                <w:sz w:val="24"/>
              </w:rPr>
            </w:pPr>
            <w:r>
              <w:rPr>
                <w:rFonts w:hint="eastAsia"/>
                <w:sz w:val="24"/>
              </w:rPr>
              <w:t>水热</w:t>
            </w:r>
            <w:r>
              <w:rPr>
                <w:sz w:val="24"/>
              </w:rPr>
              <w:t>固化</w:t>
            </w:r>
            <w:r>
              <w:rPr>
                <w:rFonts w:hint="eastAsia"/>
                <w:sz w:val="24"/>
              </w:rPr>
              <w:t>海砂</w:t>
            </w:r>
            <w:r>
              <w:rPr>
                <w:sz w:val="24"/>
              </w:rPr>
              <w:t>为</w:t>
            </w:r>
            <w:r>
              <w:rPr>
                <w:rFonts w:hint="eastAsia"/>
                <w:sz w:val="24"/>
              </w:rPr>
              <w:t>低环境</w:t>
            </w:r>
            <w:r>
              <w:rPr>
                <w:sz w:val="24"/>
              </w:rPr>
              <w:t>负荷的新型建筑材料</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同济大学</w:t>
            </w:r>
          </w:p>
        </w:tc>
        <w:tc>
          <w:tcPr>
            <w:tcW w:w="4536" w:type="dxa"/>
            <w:vAlign w:val="center"/>
          </w:tcPr>
          <w:p>
            <w:pPr>
              <w:jc w:val="center"/>
              <w:rPr>
                <w:sz w:val="24"/>
              </w:rPr>
            </w:pPr>
            <w:r>
              <w:rPr>
                <w:rFonts w:hint="eastAsia"/>
                <w:sz w:val="24"/>
              </w:rPr>
              <w:t>新型</w:t>
            </w:r>
            <w:r>
              <w:rPr>
                <w:sz w:val="24"/>
              </w:rPr>
              <w:t>城镇化进程中的小城镇集中安置社区建设</w:t>
            </w:r>
            <w:r>
              <w:rPr>
                <w:rFonts w:hint="eastAsia"/>
                <w:sz w:val="24"/>
              </w:rPr>
              <w:t>策略</w:t>
            </w:r>
            <w:r>
              <w:rPr>
                <w:sz w:val="24"/>
              </w:rPr>
              <w:t>——基于</w:t>
            </w:r>
            <w:r>
              <w:rPr>
                <w:rFonts w:hint="eastAsia"/>
                <w:sz w:val="24"/>
              </w:rPr>
              <w:t>38个市（区、</w:t>
            </w:r>
            <w:r>
              <w:rPr>
                <w:sz w:val="24"/>
              </w:rPr>
              <w:t>县）的实践调研</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华东</w:t>
            </w:r>
            <w:r>
              <w:rPr>
                <w:sz w:val="24"/>
              </w:rPr>
              <w:t>师范大学</w:t>
            </w:r>
          </w:p>
        </w:tc>
        <w:tc>
          <w:tcPr>
            <w:tcW w:w="4536" w:type="dxa"/>
            <w:vAlign w:val="center"/>
          </w:tcPr>
          <w:p>
            <w:pPr>
              <w:widowControl/>
              <w:jc w:val="center"/>
              <w:rPr>
                <w:sz w:val="24"/>
              </w:rPr>
            </w:pPr>
            <w:r>
              <w:rPr>
                <w:rFonts w:hint="eastAsia"/>
                <w:sz w:val="24"/>
              </w:rPr>
              <w:t>基于精算模型的城乡居民基本医疗保险模式探究--以浙江省为研究对象</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华东</w:t>
            </w:r>
            <w:r>
              <w:rPr>
                <w:sz w:val="24"/>
              </w:rPr>
              <w:t>师范大学</w:t>
            </w:r>
          </w:p>
        </w:tc>
        <w:tc>
          <w:tcPr>
            <w:tcW w:w="4536" w:type="dxa"/>
            <w:vAlign w:val="center"/>
          </w:tcPr>
          <w:p>
            <w:pPr>
              <w:jc w:val="center"/>
              <w:rPr>
                <w:sz w:val="24"/>
              </w:rPr>
            </w:pPr>
            <w:r>
              <w:rPr>
                <w:rFonts w:hint="eastAsia"/>
                <w:sz w:val="24"/>
              </w:rPr>
              <w:t>农业保险的风险区划研究--基于GIS的洪涝灾害风险评估模型</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华东</w:t>
            </w:r>
            <w:r>
              <w:rPr>
                <w:sz w:val="24"/>
              </w:rPr>
              <w:t>理工大学</w:t>
            </w:r>
          </w:p>
        </w:tc>
        <w:tc>
          <w:tcPr>
            <w:tcW w:w="4536" w:type="dxa"/>
            <w:vAlign w:val="center"/>
          </w:tcPr>
          <w:p>
            <w:pPr>
              <w:widowControl/>
              <w:jc w:val="center"/>
              <w:rPr>
                <w:sz w:val="24"/>
              </w:rPr>
            </w:pPr>
            <w:r>
              <w:rPr>
                <w:rFonts w:hint="eastAsia"/>
                <w:sz w:val="24"/>
              </w:rPr>
              <w:t>激光扫描细胞操纵显微镜</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华东</w:t>
            </w:r>
            <w:r>
              <w:rPr>
                <w:sz w:val="24"/>
              </w:rPr>
              <w:t>理工大学</w:t>
            </w:r>
          </w:p>
        </w:tc>
        <w:tc>
          <w:tcPr>
            <w:tcW w:w="4536" w:type="dxa"/>
            <w:vAlign w:val="center"/>
          </w:tcPr>
          <w:p>
            <w:pPr>
              <w:jc w:val="center"/>
              <w:rPr>
                <w:sz w:val="24"/>
              </w:rPr>
            </w:pPr>
            <w:r>
              <w:rPr>
                <w:rFonts w:hint="eastAsia"/>
                <w:sz w:val="24"/>
              </w:rPr>
              <w:t>甲醇制烯烃微粉废催化剂的无害化处理及资源化再利用</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上海外国语大学</w:t>
            </w:r>
          </w:p>
        </w:tc>
        <w:tc>
          <w:tcPr>
            <w:tcW w:w="4536" w:type="dxa"/>
            <w:vAlign w:val="center"/>
          </w:tcPr>
          <w:p>
            <w:pPr>
              <w:widowControl/>
              <w:jc w:val="center"/>
              <w:rPr>
                <w:sz w:val="24"/>
              </w:rPr>
            </w:pPr>
            <w:r>
              <w:rPr>
                <w:rFonts w:hint="eastAsia"/>
                <w:sz w:val="24"/>
              </w:rPr>
              <w:t>小语种高起点学生教育的现状及发展研究--基于多所外语类院校的实证调研</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上海财经大学</w:t>
            </w:r>
          </w:p>
        </w:tc>
        <w:tc>
          <w:tcPr>
            <w:tcW w:w="4536" w:type="dxa"/>
            <w:vAlign w:val="center"/>
          </w:tcPr>
          <w:p>
            <w:pPr>
              <w:widowControl/>
              <w:jc w:val="center"/>
              <w:rPr>
                <w:sz w:val="24"/>
              </w:rPr>
            </w:pPr>
            <w:r>
              <w:rPr>
                <w:rFonts w:hint="eastAsia"/>
                <w:sz w:val="24"/>
              </w:rPr>
              <w:t>新经济背景下中国在线教育发展与产品发展策略研究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上海财经大学</w:t>
            </w:r>
          </w:p>
        </w:tc>
        <w:tc>
          <w:tcPr>
            <w:tcW w:w="4536" w:type="dxa"/>
            <w:vAlign w:val="center"/>
          </w:tcPr>
          <w:p>
            <w:pPr>
              <w:jc w:val="center"/>
              <w:rPr>
                <w:sz w:val="24"/>
              </w:rPr>
            </w:pPr>
            <w:r>
              <w:rPr>
                <w:rFonts w:hint="eastAsia"/>
                <w:sz w:val="24"/>
              </w:rPr>
              <w:t>营改增对消费性文化创意服务企业税负以及利润率的影响研究——基于上海市147家文化企业的调查</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上海大学</w:t>
            </w:r>
          </w:p>
        </w:tc>
        <w:tc>
          <w:tcPr>
            <w:tcW w:w="4536" w:type="dxa"/>
            <w:vAlign w:val="center"/>
          </w:tcPr>
          <w:p>
            <w:pPr>
              <w:widowControl/>
              <w:jc w:val="center"/>
              <w:rPr>
                <w:sz w:val="24"/>
              </w:rPr>
            </w:pPr>
            <w:r>
              <w:rPr>
                <w:rFonts w:hint="eastAsia"/>
                <w:sz w:val="24"/>
              </w:rPr>
              <w:t>网络时代下差序格局的强化与再造--基于我国90后大学生社交状况的调查</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上海大学</w:t>
            </w:r>
          </w:p>
        </w:tc>
        <w:tc>
          <w:tcPr>
            <w:tcW w:w="4536" w:type="dxa"/>
            <w:vAlign w:val="center"/>
          </w:tcPr>
          <w:p>
            <w:pPr>
              <w:jc w:val="center"/>
              <w:rPr>
                <w:sz w:val="24"/>
              </w:rPr>
            </w:pPr>
            <w:r>
              <w:rPr>
                <w:rFonts w:hint="eastAsia"/>
                <w:sz w:val="24"/>
              </w:rPr>
              <w:t>一种便携式核辐射探测器</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第二</w:t>
            </w:r>
            <w:r>
              <w:rPr>
                <w:sz w:val="24"/>
              </w:rPr>
              <w:t>军医大学</w:t>
            </w:r>
          </w:p>
        </w:tc>
        <w:tc>
          <w:tcPr>
            <w:tcW w:w="4536" w:type="dxa"/>
            <w:vAlign w:val="center"/>
          </w:tcPr>
          <w:p>
            <w:pPr>
              <w:widowControl/>
              <w:jc w:val="center"/>
              <w:rPr>
                <w:sz w:val="24"/>
              </w:rPr>
            </w:pPr>
            <w:r>
              <w:rPr>
                <w:rFonts w:hint="eastAsia"/>
                <w:sz w:val="24"/>
              </w:rPr>
              <w:t>二甲亚砜处理的小鼠肝癌细胞系Hepa1-6细胞诱导小鼠建立肿瘤特异性免疫</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上海师范大学</w:t>
            </w:r>
          </w:p>
        </w:tc>
        <w:tc>
          <w:tcPr>
            <w:tcW w:w="4536" w:type="dxa"/>
            <w:vAlign w:val="center"/>
          </w:tcPr>
          <w:p>
            <w:pPr>
              <w:widowControl/>
              <w:jc w:val="center"/>
              <w:rPr>
                <w:sz w:val="24"/>
              </w:rPr>
            </w:pPr>
            <w:r>
              <w:rPr>
                <w:rFonts w:hint="eastAsia"/>
                <w:sz w:val="24"/>
              </w:rPr>
              <w:t>还权于民的上海实验：进展与挑战--基于上海农村集体经济产权制度改革试点地区的调查分析</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上海师范大学</w:t>
            </w:r>
          </w:p>
        </w:tc>
        <w:tc>
          <w:tcPr>
            <w:tcW w:w="4536" w:type="dxa"/>
            <w:vAlign w:val="center"/>
          </w:tcPr>
          <w:p>
            <w:pPr>
              <w:jc w:val="center"/>
              <w:rPr>
                <w:sz w:val="24"/>
              </w:rPr>
            </w:pPr>
            <w:r>
              <w:rPr>
                <w:rFonts w:hint="eastAsia"/>
                <w:sz w:val="24"/>
              </w:rPr>
              <w:t>一种同时提高丹参酮和丹酚酸含量的方法</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华东</w:t>
            </w:r>
            <w:r>
              <w:rPr>
                <w:sz w:val="24"/>
              </w:rPr>
              <w:t>政法大学</w:t>
            </w:r>
          </w:p>
        </w:tc>
        <w:tc>
          <w:tcPr>
            <w:tcW w:w="4536" w:type="dxa"/>
            <w:vAlign w:val="center"/>
          </w:tcPr>
          <w:p>
            <w:pPr>
              <w:widowControl/>
              <w:jc w:val="center"/>
              <w:rPr>
                <w:sz w:val="24"/>
              </w:rPr>
            </w:pPr>
            <w:r>
              <w:rPr>
                <w:rFonts w:hint="eastAsia"/>
                <w:sz w:val="24"/>
              </w:rPr>
              <w:t>土地流转利益三元平衡和多方监控模式建构</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理工大学</w:t>
            </w:r>
          </w:p>
        </w:tc>
        <w:tc>
          <w:tcPr>
            <w:tcW w:w="4536" w:type="dxa"/>
            <w:vAlign w:val="center"/>
          </w:tcPr>
          <w:p>
            <w:pPr>
              <w:widowControl/>
              <w:jc w:val="center"/>
              <w:rPr>
                <w:sz w:val="24"/>
              </w:rPr>
            </w:pPr>
            <w:r>
              <w:rPr>
                <w:rFonts w:hint="eastAsia"/>
                <w:sz w:val="24"/>
              </w:rPr>
              <w:t>传统电商向跨境电商转型之路--以上海地区电商为例</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理工大学</w:t>
            </w:r>
          </w:p>
        </w:tc>
        <w:tc>
          <w:tcPr>
            <w:tcW w:w="4536" w:type="dxa"/>
            <w:vAlign w:val="center"/>
          </w:tcPr>
          <w:p>
            <w:pPr>
              <w:jc w:val="center"/>
              <w:rPr>
                <w:sz w:val="24"/>
              </w:rPr>
            </w:pPr>
            <w:r>
              <w:rPr>
                <w:rFonts w:hint="eastAsia"/>
                <w:sz w:val="24"/>
              </w:rPr>
              <w:t>智能一体化消防巡检控制系统</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理工大学</w:t>
            </w:r>
          </w:p>
        </w:tc>
        <w:tc>
          <w:tcPr>
            <w:tcW w:w="4536" w:type="dxa"/>
            <w:vAlign w:val="center"/>
          </w:tcPr>
          <w:p>
            <w:pPr>
              <w:jc w:val="center"/>
              <w:rPr>
                <w:sz w:val="24"/>
              </w:rPr>
            </w:pPr>
            <w:r>
              <w:rPr>
                <w:rFonts w:hint="eastAsia"/>
                <w:sz w:val="24"/>
              </w:rPr>
              <w:t>基于单光子探测技术的超灵敏光时域反射仪</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理工大学</w:t>
            </w:r>
          </w:p>
        </w:tc>
        <w:tc>
          <w:tcPr>
            <w:tcW w:w="4536" w:type="dxa"/>
            <w:vAlign w:val="center"/>
          </w:tcPr>
          <w:p>
            <w:pPr>
              <w:jc w:val="center"/>
              <w:rPr>
                <w:sz w:val="24"/>
              </w:rPr>
            </w:pPr>
            <w:r>
              <w:rPr>
                <w:rFonts w:hint="eastAsia"/>
                <w:sz w:val="24"/>
              </w:rPr>
              <w:t>微光纤/金属复合结构光学传感器的研究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中医药大学</w:t>
            </w:r>
          </w:p>
        </w:tc>
        <w:tc>
          <w:tcPr>
            <w:tcW w:w="4536" w:type="dxa"/>
            <w:vAlign w:val="center"/>
          </w:tcPr>
          <w:p>
            <w:pPr>
              <w:widowControl/>
              <w:jc w:val="center"/>
              <w:rPr>
                <w:sz w:val="24"/>
              </w:rPr>
            </w:pPr>
            <w:r>
              <w:rPr>
                <w:rFonts w:hint="eastAsia"/>
                <w:sz w:val="24"/>
              </w:rPr>
              <w:t>“云中医”APP</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海事大学</w:t>
            </w:r>
          </w:p>
        </w:tc>
        <w:tc>
          <w:tcPr>
            <w:tcW w:w="4536" w:type="dxa"/>
            <w:vAlign w:val="center"/>
          </w:tcPr>
          <w:p>
            <w:pPr>
              <w:widowControl/>
              <w:jc w:val="center"/>
              <w:rPr>
                <w:sz w:val="24"/>
              </w:rPr>
            </w:pPr>
            <w:r>
              <w:rPr>
                <w:rFonts w:hint="eastAsia"/>
                <w:sz w:val="24"/>
              </w:rPr>
              <w:t>新型城镇化建设背景下上海市随迁子女与安徽省留守儿童生存现状对比调查研究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extDirection w:val="lrTb"/>
            <w:vAlign w:val="center"/>
          </w:tcPr>
          <w:p>
            <w:pPr>
              <w:pStyle w:val="5"/>
              <w:numPr>
                <w:ilvl w:val="0"/>
                <w:numId w:val="1"/>
              </w:numPr>
              <w:ind w:left="420" w:leftChars="0" w:hanging="420" w:firstLineChars="0"/>
              <w:jc w:val="center"/>
              <w:rPr>
                <w:sz w:val="24"/>
                <w:highlight w:val="yellow"/>
              </w:rPr>
            </w:pPr>
          </w:p>
        </w:tc>
        <w:tc>
          <w:tcPr>
            <w:tcW w:w="2551" w:type="dxa"/>
            <w:textDirection w:val="lrTb"/>
            <w:vAlign w:val="center"/>
          </w:tcPr>
          <w:p>
            <w:pPr>
              <w:jc w:val="center"/>
              <w:rPr>
                <w:rFonts w:hint="eastAsia"/>
                <w:sz w:val="24"/>
                <w:highlight w:val="yellow"/>
              </w:rPr>
            </w:pPr>
            <w:r>
              <w:rPr>
                <w:rFonts w:hint="eastAsia"/>
                <w:sz w:val="24"/>
                <w:highlight w:val="yellow"/>
              </w:rPr>
              <w:t>上海</w:t>
            </w:r>
            <w:r>
              <w:rPr>
                <w:sz w:val="24"/>
                <w:highlight w:val="yellow"/>
              </w:rPr>
              <w:t>工程技术大学</w:t>
            </w:r>
            <w:r>
              <w:rPr>
                <w:rFonts w:hint="eastAsia"/>
                <w:sz w:val="24"/>
                <w:highlight w:val="yellow"/>
              </w:rPr>
              <w:t xml:space="preserve">   </w:t>
            </w:r>
          </w:p>
        </w:tc>
        <w:tc>
          <w:tcPr>
            <w:tcW w:w="4536" w:type="dxa"/>
            <w:textDirection w:val="lrTb"/>
            <w:vAlign w:val="center"/>
          </w:tcPr>
          <w:p>
            <w:pPr>
              <w:jc w:val="center"/>
              <w:rPr>
                <w:rFonts w:hint="eastAsia"/>
                <w:sz w:val="24"/>
                <w:highlight w:val="yellow"/>
              </w:rPr>
            </w:pPr>
            <w:r>
              <w:rPr>
                <w:highlight w:val="yellow"/>
              </w:rPr>
              <w:fldChar w:fldCharType="begin"/>
            </w:r>
            <w:r>
              <w:rPr>
                <w:highlight w:val="yellow"/>
              </w:rPr>
              <w:instrText xml:space="preserve">HYPERLINK "http://sh.tiaozhanbei.net/m55/project_info/detail/67204/" </w:instrText>
            </w:r>
            <w:r>
              <w:rPr>
                <w:highlight w:val="yellow"/>
              </w:rPr>
              <w:fldChar w:fldCharType="separate"/>
            </w:r>
            <w:r>
              <w:rPr>
                <w:sz w:val="24"/>
                <w:highlight w:val="yellow"/>
              </w:rPr>
              <w:t>具有人脸识别功能的康复护理机器人床</w:t>
            </w:r>
            <w:r>
              <w:rPr>
                <w:highlight w:val="yellow"/>
              </w:rPr>
              <w:fldChar w:fldCharType="end"/>
            </w:r>
          </w:p>
        </w:tc>
        <w:tc>
          <w:tcPr>
            <w:tcW w:w="1276" w:type="dxa"/>
            <w:textDirection w:val="lrTb"/>
            <w:vAlign w:val="center"/>
          </w:tcPr>
          <w:p>
            <w:pPr>
              <w:jc w:val="center"/>
              <w:rPr>
                <w:rFonts w:hint="eastAsia"/>
                <w:sz w:val="24"/>
                <w:highlight w:val="yellow"/>
              </w:rPr>
            </w:pPr>
            <w:r>
              <w:rPr>
                <w:rFonts w:hint="eastAsia"/>
                <w:sz w:val="24"/>
                <w:highlight w:val="yellow"/>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体育学院</w:t>
            </w:r>
          </w:p>
        </w:tc>
        <w:tc>
          <w:tcPr>
            <w:tcW w:w="4536" w:type="dxa"/>
            <w:vAlign w:val="center"/>
          </w:tcPr>
          <w:p>
            <w:pPr>
              <w:widowControl/>
              <w:jc w:val="center"/>
              <w:rPr>
                <w:sz w:val="24"/>
              </w:rPr>
            </w:pPr>
            <w:r>
              <w:rPr>
                <w:rFonts w:hint="eastAsia"/>
                <w:sz w:val="24"/>
              </w:rPr>
              <w:t>一个时代的霓虹——广场舞流行机制、社会效应及治理对策研究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金融学院</w:t>
            </w:r>
          </w:p>
        </w:tc>
        <w:tc>
          <w:tcPr>
            <w:tcW w:w="4536" w:type="dxa"/>
            <w:vAlign w:val="center"/>
          </w:tcPr>
          <w:p>
            <w:pPr>
              <w:widowControl/>
              <w:jc w:val="center"/>
              <w:rPr>
                <w:sz w:val="24"/>
              </w:rPr>
            </w:pPr>
            <w:r>
              <w:rPr>
                <w:rFonts w:hint="eastAsia"/>
                <w:sz w:val="24"/>
              </w:rPr>
              <w:t>低碳经济下我国碳排放权会计处理的创新研究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中共</w:t>
            </w:r>
            <w:r>
              <w:rPr>
                <w:sz w:val="24"/>
              </w:rPr>
              <w:t>上海市委党校</w:t>
            </w:r>
          </w:p>
        </w:tc>
        <w:tc>
          <w:tcPr>
            <w:tcW w:w="4536" w:type="dxa"/>
            <w:vAlign w:val="center"/>
          </w:tcPr>
          <w:p>
            <w:pPr>
              <w:jc w:val="center"/>
              <w:rPr>
                <w:sz w:val="24"/>
              </w:rPr>
            </w:pPr>
            <w:r>
              <w:rPr>
                <w:rFonts w:hint="eastAsia"/>
                <w:sz w:val="24"/>
              </w:rPr>
              <w:t>社区</w:t>
            </w:r>
            <w:r>
              <w:rPr>
                <w:sz w:val="24"/>
              </w:rPr>
              <w:t>治理场域中权力清单制度实践现状与对策——基于上海市两社区的实证研究</w:t>
            </w:r>
          </w:p>
        </w:tc>
        <w:tc>
          <w:tcPr>
            <w:tcW w:w="1276" w:type="dxa"/>
            <w:vAlign w:val="center"/>
          </w:tcPr>
          <w:p>
            <w:pPr>
              <w:jc w:val="cente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pStyle w:val="5"/>
              <w:numPr>
                <w:ilvl w:val="0"/>
                <w:numId w:val="1"/>
              </w:numPr>
              <w:ind w:firstLineChars="0"/>
              <w:jc w:val="center"/>
              <w:rPr>
                <w:sz w:val="24"/>
              </w:rPr>
            </w:pPr>
          </w:p>
        </w:tc>
        <w:tc>
          <w:tcPr>
            <w:tcW w:w="2551" w:type="dxa"/>
            <w:vAlign w:val="center"/>
          </w:tcPr>
          <w:p>
            <w:pPr>
              <w:jc w:val="center"/>
              <w:rPr>
                <w:sz w:val="24"/>
              </w:rPr>
            </w:pPr>
            <w:r>
              <w:rPr>
                <w:rFonts w:hint="eastAsia"/>
                <w:sz w:val="24"/>
              </w:rPr>
              <w:t>上海</w:t>
            </w:r>
            <w:r>
              <w:rPr>
                <w:sz w:val="24"/>
              </w:rPr>
              <w:t>政法学院</w:t>
            </w:r>
          </w:p>
        </w:tc>
        <w:tc>
          <w:tcPr>
            <w:tcW w:w="4536" w:type="dxa"/>
            <w:vAlign w:val="center"/>
          </w:tcPr>
          <w:p>
            <w:pPr>
              <w:jc w:val="center"/>
              <w:rPr>
                <w:sz w:val="24"/>
              </w:rPr>
            </w:pPr>
            <w:r>
              <w:rPr>
                <w:rFonts w:hint="eastAsia"/>
                <w:sz w:val="24"/>
              </w:rPr>
              <w:t>立法</w:t>
            </w:r>
            <w:r>
              <w:rPr>
                <w:sz w:val="24"/>
              </w:rPr>
              <w:t>进程中立法机关与媒体的沟通互动研究——</w:t>
            </w:r>
            <w:r>
              <w:rPr>
                <w:rFonts w:hint="eastAsia"/>
                <w:sz w:val="24"/>
              </w:rPr>
              <w:t>以</w:t>
            </w:r>
            <w:r>
              <w:rPr>
                <w:sz w:val="24"/>
              </w:rPr>
              <w:t>上海市</w:t>
            </w:r>
            <w:r>
              <w:rPr>
                <w:rFonts w:hint="eastAsia"/>
                <w:sz w:val="24"/>
              </w:rPr>
              <w:t>立法机关</w:t>
            </w:r>
            <w:r>
              <w:rPr>
                <w:sz w:val="24"/>
              </w:rPr>
              <w:t>为例</w:t>
            </w:r>
          </w:p>
        </w:tc>
        <w:tc>
          <w:tcPr>
            <w:tcW w:w="1276" w:type="dxa"/>
            <w:vAlign w:val="center"/>
          </w:tcPr>
          <w:p>
            <w:pPr>
              <w:jc w:val="center"/>
            </w:pPr>
            <w:r>
              <w:rPr>
                <w:rFonts w:hint="eastAsia"/>
                <w:sz w:val="24"/>
              </w:rPr>
              <w:t>一等奖</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3851589">
    <w:nsid w:val="4C860545"/>
    <w:multiLevelType w:val="multilevel"/>
    <w:tmpl w:val="4C860545"/>
    <w:lvl w:ilvl="0" w:tentative="1">
      <w:start w:val="1"/>
      <w:numFmt w:val="decimal"/>
      <w:lvlText w:val="   %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2838515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E0546"/>
    <w:rsid w:val="000E0546"/>
    <w:rsid w:val="0022095A"/>
    <w:rsid w:val="00234FA5"/>
    <w:rsid w:val="004C5A84"/>
    <w:rsid w:val="00592CF0"/>
    <w:rsid w:val="007C4FB4"/>
    <w:rsid w:val="0094055D"/>
    <w:rsid w:val="009E42C0"/>
    <w:rsid w:val="00DE42F1"/>
    <w:rsid w:val="22F226F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 w:type="table" w:styleId="4">
    <w:name w:val="Table Grid"/>
    <w:basedOn w:val="3"/>
    <w:uiPriority w:val="39"/>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269</Words>
  <Characters>1534</Characters>
  <Lines>12</Lines>
  <Paragraphs>3</Paragraphs>
  <TotalTime>0</TotalTime>
  <ScaleCrop>false</ScaleCrop>
  <LinksUpToDate>false</LinksUpToDate>
  <CharactersWithSpaces>0</CharactersWithSpaces>
  <Application>WPS Office_9.1.0.5100_{F1E327BC-269C-435d-A152-05C5408002CA}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2015-06-15T09:17:00Z</dcterms:created>
  <dc:creator>微软用户</dc:creator>
  <cp:lastModifiedBy>Jacky</cp:lastModifiedBy>
  <dcterms:modified xsi:type="dcterms:W3CDTF">2015-06-16T03:24:00Z</dcterms:modified>
  <dc:title>序号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